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538"/>
        <w:tblW w:w="9828" w:type="dxa"/>
        <w:tblLook w:val="01E0"/>
      </w:tblPr>
      <w:tblGrid>
        <w:gridCol w:w="4857"/>
        <w:gridCol w:w="57"/>
        <w:gridCol w:w="4914"/>
      </w:tblGrid>
      <w:tr w:rsidR="003B4CA0" w:rsidRPr="003B4CA0" w:rsidTr="004A4725">
        <w:tc>
          <w:tcPr>
            <w:tcW w:w="9828" w:type="dxa"/>
            <w:gridSpan w:val="3"/>
          </w:tcPr>
          <w:p w:rsidR="003B4CA0" w:rsidRPr="003B4CA0" w:rsidRDefault="003B4CA0" w:rsidP="003B4CA0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3B4C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Управление правового обеспечения</w:t>
            </w:r>
          </w:p>
          <w:p w:rsidR="003B4CA0" w:rsidRPr="003B4CA0" w:rsidRDefault="003B4CA0" w:rsidP="003B4CA0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3B4C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администрации МО «Цильнинский район»</w:t>
            </w:r>
          </w:p>
          <w:p w:rsidR="003B4CA0" w:rsidRPr="003B4CA0" w:rsidRDefault="003B4CA0" w:rsidP="003B4CA0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3B4CA0" w:rsidRPr="003B4CA0" w:rsidTr="004A4725">
        <w:tc>
          <w:tcPr>
            <w:tcW w:w="9828" w:type="dxa"/>
            <w:gridSpan w:val="3"/>
          </w:tcPr>
          <w:p w:rsidR="003B4CA0" w:rsidRPr="003B4CA0" w:rsidRDefault="003B4CA0" w:rsidP="003B4CA0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4C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ЗАКЛЮЧЕНИЕ</w:t>
            </w:r>
          </w:p>
          <w:p w:rsidR="003B4CA0" w:rsidRPr="003B4CA0" w:rsidRDefault="003B4CA0" w:rsidP="003B4CA0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4C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ПРАВОВОЙ И АНТИКОРРУПЦИОННОЙ ЭКСПЕРТИЗЫ</w:t>
            </w:r>
          </w:p>
          <w:p w:rsidR="003B4CA0" w:rsidRPr="003B4CA0" w:rsidRDefault="003B4CA0" w:rsidP="003B4CA0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</w:tr>
      <w:tr w:rsidR="003B4CA0" w:rsidRPr="003B4CA0" w:rsidTr="004A4725">
        <w:tc>
          <w:tcPr>
            <w:tcW w:w="9828" w:type="dxa"/>
            <w:gridSpan w:val="3"/>
          </w:tcPr>
          <w:p w:rsidR="003B4CA0" w:rsidRPr="003B4CA0" w:rsidRDefault="003B4CA0" w:rsidP="003B4CA0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3B4C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проекта постановления администрации МО «Цильнинский район»</w:t>
            </w:r>
          </w:p>
          <w:p w:rsidR="003B4CA0" w:rsidRPr="003B4CA0" w:rsidRDefault="003B4CA0" w:rsidP="003B4CA0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3B4CA0" w:rsidRPr="003B4CA0" w:rsidTr="004A4725">
        <w:tc>
          <w:tcPr>
            <w:tcW w:w="9828" w:type="dxa"/>
            <w:gridSpan w:val="3"/>
          </w:tcPr>
          <w:p w:rsidR="003B4CA0" w:rsidRPr="003B4CA0" w:rsidRDefault="003B4CA0" w:rsidP="003B4CA0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«</w:t>
            </w:r>
            <w:bookmarkStart w:id="0" w:name="OLE_LINK71"/>
            <w:bookmarkStart w:id="1" w:name="OLE_LINK72"/>
            <w:bookmarkStart w:id="2" w:name="OLE_LINK73"/>
            <w:bookmarkStart w:id="3" w:name="OLE_LINK74"/>
            <w:bookmarkStart w:id="4" w:name="OLE_LINK75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О порядке предоставления субсидий на возмещение затрат в связи с оказанием услуг по организации транспортного облуживания населения по регулярным социально значимым маршрутам муниципальной </w:t>
            </w:r>
            <w:r w:rsidR="00BD4E0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маршрутной сети МО «Цильнинский район», не компенсированных доходами от перевозки пассажиров</w:t>
            </w:r>
            <w:r w:rsidRPr="003B4CA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»</w:t>
            </w:r>
          </w:p>
          <w:bookmarkEnd w:id="0"/>
          <w:bookmarkEnd w:id="1"/>
          <w:bookmarkEnd w:id="2"/>
          <w:bookmarkEnd w:id="3"/>
          <w:bookmarkEnd w:id="4"/>
          <w:p w:rsidR="003B4CA0" w:rsidRPr="003B4CA0" w:rsidRDefault="003B4CA0" w:rsidP="003B4CA0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B4CA0" w:rsidRPr="003B4CA0" w:rsidTr="004A4725">
        <w:tc>
          <w:tcPr>
            <w:tcW w:w="4857" w:type="dxa"/>
          </w:tcPr>
          <w:p w:rsidR="003B4CA0" w:rsidRPr="003B4CA0" w:rsidRDefault="003B4CA0" w:rsidP="003B4CA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Дата  экспертизы</w:t>
            </w:r>
          </w:p>
        </w:tc>
        <w:tc>
          <w:tcPr>
            <w:tcW w:w="4971" w:type="dxa"/>
            <w:gridSpan w:val="2"/>
          </w:tcPr>
          <w:p w:rsidR="003B4CA0" w:rsidRPr="003B4CA0" w:rsidRDefault="00BD4E04" w:rsidP="003B4CA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04.03.2016</w:t>
            </w:r>
          </w:p>
          <w:p w:rsidR="003B4CA0" w:rsidRPr="003B4CA0" w:rsidRDefault="003B4CA0" w:rsidP="003B4CA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B4CA0" w:rsidRPr="003B4CA0" w:rsidTr="004A4725">
        <w:tc>
          <w:tcPr>
            <w:tcW w:w="4857" w:type="dxa"/>
          </w:tcPr>
          <w:p w:rsidR="003B4CA0" w:rsidRPr="003B4CA0" w:rsidRDefault="003B4CA0" w:rsidP="003B4CA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Номер экспертизы</w:t>
            </w:r>
          </w:p>
        </w:tc>
        <w:tc>
          <w:tcPr>
            <w:tcW w:w="4971" w:type="dxa"/>
            <w:gridSpan w:val="2"/>
          </w:tcPr>
          <w:p w:rsidR="003B4CA0" w:rsidRPr="003B4CA0" w:rsidRDefault="003B4CA0" w:rsidP="00BD4E0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  <w:r w:rsidR="00BD4E0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</w:tr>
      <w:tr w:rsidR="003B4CA0" w:rsidRPr="003B4CA0" w:rsidTr="004A4725">
        <w:tc>
          <w:tcPr>
            <w:tcW w:w="4857" w:type="dxa"/>
          </w:tcPr>
          <w:p w:rsidR="003B4CA0" w:rsidRPr="003B4CA0" w:rsidRDefault="003B4CA0" w:rsidP="003B4CA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B4CA0" w:rsidRPr="003B4CA0" w:rsidRDefault="003B4CA0" w:rsidP="003B4CA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4971" w:type="dxa"/>
            <w:gridSpan w:val="2"/>
          </w:tcPr>
          <w:p w:rsidR="003B4CA0" w:rsidRPr="003B4CA0" w:rsidRDefault="003B4CA0" w:rsidP="003B4CA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управление экономического и стратегического развития администрации МО «Цильнинский район»</w:t>
            </w:r>
          </w:p>
          <w:p w:rsidR="003B4CA0" w:rsidRPr="003B4CA0" w:rsidRDefault="003B4CA0" w:rsidP="003B4CA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B4CA0" w:rsidRPr="003B4CA0" w:rsidTr="004A4725">
        <w:tc>
          <w:tcPr>
            <w:tcW w:w="4857" w:type="dxa"/>
          </w:tcPr>
          <w:p w:rsidR="003B4CA0" w:rsidRPr="003B4CA0" w:rsidRDefault="003B4CA0" w:rsidP="003B4CA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Результат экспертизы</w:t>
            </w:r>
          </w:p>
        </w:tc>
        <w:tc>
          <w:tcPr>
            <w:tcW w:w="4971" w:type="dxa"/>
            <w:gridSpan w:val="2"/>
          </w:tcPr>
          <w:p w:rsidR="003B4CA0" w:rsidRPr="003B4CA0" w:rsidRDefault="003B4CA0" w:rsidP="003B4CA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BD4E04"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содержит коррупциогенные факторы</w:t>
            </w:r>
          </w:p>
        </w:tc>
      </w:tr>
      <w:tr w:rsidR="003B4CA0" w:rsidRPr="003B4CA0" w:rsidTr="004A4725">
        <w:tc>
          <w:tcPr>
            <w:tcW w:w="9828" w:type="dxa"/>
            <w:gridSpan w:val="3"/>
          </w:tcPr>
          <w:p w:rsidR="003B4CA0" w:rsidRPr="003B4CA0" w:rsidRDefault="003B4CA0" w:rsidP="003B4CA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B4CA0" w:rsidRPr="003B4CA0" w:rsidTr="004A4725">
        <w:tc>
          <w:tcPr>
            <w:tcW w:w="9828" w:type="dxa"/>
            <w:gridSpan w:val="3"/>
          </w:tcPr>
          <w:p w:rsidR="003B4CA0" w:rsidRPr="003B4CA0" w:rsidRDefault="003B4CA0" w:rsidP="003B4CA0">
            <w:pPr>
              <w:numPr>
                <w:ilvl w:val="0"/>
                <w:numId w:val="1"/>
              </w:numPr>
              <w:tabs>
                <w:tab w:val="left" w:pos="342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B4CA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3B4CA0" w:rsidRPr="003B4CA0" w:rsidRDefault="003B4CA0" w:rsidP="003B4CA0">
            <w:pPr>
              <w:tabs>
                <w:tab w:val="left" w:pos="3420"/>
              </w:tabs>
              <w:spacing w:after="0" w:line="240" w:lineRule="auto"/>
              <w:ind w:lef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3B4CA0" w:rsidRPr="003B4CA0" w:rsidRDefault="003B4CA0" w:rsidP="003B4CA0">
            <w:pPr>
              <w:suppressAutoHyphens/>
              <w:spacing w:after="0" w:line="240" w:lineRule="auto"/>
              <w:ind w:firstLine="69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Настоящее заключение дано на проект постановления администрации МО «Цильнинский район</w:t>
            </w:r>
            <w:r w:rsidRPr="003B4CA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» «</w:t>
            </w:r>
            <w:r w:rsidR="00BD4E04" w:rsidRPr="00BD4E0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О порядке предоставления субсидий на возмещение затрат в связи с оказанием услуг по организации транспортного облуживания населения по регулярным социально значимым маршрутам муниципальной маршрутной сети МО «Цильнинский район», не компенсированных доходами от перевозки пассажиров</w:t>
            </w:r>
            <w:r w:rsidRPr="003B4CA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  <w:p w:rsidR="003B4CA0" w:rsidRPr="003B4CA0" w:rsidRDefault="003B4CA0" w:rsidP="003B4CA0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Экспертиза проведена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постановлением администрации МО «Цильнинский район» от 10.04.2009 №21-р «О   проведении антикоррупционной экспертизы правовых  актов  МО «Цильнинский район» и их проектов». </w:t>
            </w:r>
          </w:p>
          <w:p w:rsidR="003B4CA0" w:rsidRPr="003B4CA0" w:rsidRDefault="003B4CA0" w:rsidP="003B4CA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B4CA0" w:rsidRPr="003B4CA0" w:rsidTr="004A4725">
        <w:tc>
          <w:tcPr>
            <w:tcW w:w="9828" w:type="dxa"/>
            <w:gridSpan w:val="3"/>
          </w:tcPr>
          <w:p w:rsidR="003B4CA0" w:rsidRPr="003B4CA0" w:rsidRDefault="003B4CA0" w:rsidP="003B4CA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B4CA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3B4CA0" w:rsidRPr="003B4CA0" w:rsidRDefault="003B4CA0" w:rsidP="003B4CA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3B4CA0" w:rsidRPr="003B4CA0" w:rsidRDefault="003B4CA0" w:rsidP="003B4C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CA0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Представленным на экспертизу проектом постановления администрации МО «Цильнинский район» предлагается </w:t>
            </w:r>
            <w:r w:rsidRPr="003B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утвердить порядок </w:t>
            </w:r>
            <w:r w:rsidR="00BD4E04" w:rsidRPr="00BD4E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субсидий на возмещение затрат в связи с оказанием услуг по организации транспортного облуживания населения по регулярным социально значимым маршрутам муниципальной маршрутной сети МО «Цильнинский район», не компенсированных доходами от перевозки пассажиров</w:t>
            </w:r>
            <w:bookmarkStart w:id="5" w:name="OLE_LINK8"/>
            <w:bookmarkStart w:id="6" w:name="OLE_LINK9"/>
            <w:r w:rsidRPr="003B4C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bookmarkEnd w:id="5"/>
            <w:bookmarkEnd w:id="6"/>
            <w:r w:rsidRPr="003B4C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4CA0" w:rsidRPr="003B4CA0" w:rsidRDefault="003B4CA0" w:rsidP="003B4C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CA0" w:rsidRPr="003B4CA0" w:rsidTr="004A4725">
        <w:trPr>
          <w:trHeight w:val="1220"/>
        </w:trPr>
        <w:tc>
          <w:tcPr>
            <w:tcW w:w="9828" w:type="dxa"/>
            <w:gridSpan w:val="3"/>
          </w:tcPr>
          <w:p w:rsidR="003B4CA0" w:rsidRPr="003B4CA0" w:rsidRDefault="003B4CA0" w:rsidP="003B4CA0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B4CA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3B4CA0" w:rsidRPr="003B4CA0" w:rsidRDefault="003B4CA0" w:rsidP="003B4CA0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3B4CA0" w:rsidRPr="003B4CA0" w:rsidRDefault="003B4CA0" w:rsidP="003B4CA0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Факторы, которые способствуют или могут способствовать созданию условий для проявления коррупции</w:t>
            </w:r>
            <w:r w:rsidRPr="003B4CA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  <w:p w:rsidR="003B4CA0" w:rsidRDefault="002857A0" w:rsidP="00AF4B7E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3.1. Проектом Порядка </w:t>
            </w:r>
            <w:r w:rsidRPr="00BD4E0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предоставления субсидий на возмещение затрат в связи с оказанием услуг по организации транспортного облуживания населения по регулярным </w:t>
            </w:r>
            <w:r w:rsidRPr="00BD4E0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социально значимым маршрутам муниципальной маршрутной сети МО «Цильнинский район», не компенсированных доходами от перевозки пассажиров</w:t>
            </w:r>
            <w:r w:rsidR="00C7314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(далее – Порядок)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, установлено</w:t>
            </w:r>
            <w:r w:rsidR="0043305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, что данный Порядок определяет: критерии отбора юридических лиц (за исключением государственных  (муниципальных) учреждений, индивидуальных предпринимателей, оказывающих услуги по осуществлению пассажирских  перевозок автомобильным транспортом по регулярным социально значимым маршрутам муниципальной маршрутной </w:t>
            </w:r>
            <w:r w:rsidR="00AF4B7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43305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ети</w:t>
            </w:r>
            <w:r w:rsidR="00AF4B7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МО «Цильнинский район», не компенсированных доходами от перевозки пассажиров;</w:t>
            </w:r>
          </w:p>
          <w:p w:rsidR="00AF4B7E" w:rsidRDefault="00AF4B7E" w:rsidP="00AF4B7E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цели, условия и порядок предоставления субсидий;</w:t>
            </w:r>
          </w:p>
          <w:p w:rsidR="00AF4B7E" w:rsidRDefault="00AF4B7E" w:rsidP="00AF4B7E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порядок возврата субсидий в бюджет муниципального образования «Цильнинский район» в случае нарушения условий, установленных при их предоставлении.</w:t>
            </w:r>
          </w:p>
          <w:p w:rsidR="00AF4B7E" w:rsidRDefault="00AF4B7E" w:rsidP="00AF4B7E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В соответствии </w:t>
            </w:r>
            <w:r w:rsidR="00FA541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="00F74CCE" w:rsidRPr="00F74CC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ункт</w:t>
            </w:r>
            <w:r w:rsidR="00FA541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ом</w:t>
            </w:r>
            <w:r w:rsidR="00F74CCE" w:rsidRPr="00F74CC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3 статьи 78 Б</w:t>
            </w:r>
            <w:r w:rsidR="00F74CC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юджетного кодекса</w:t>
            </w:r>
            <w:r w:rsidR="00F74CCE" w:rsidRPr="00F74CC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Р</w:t>
            </w:r>
            <w:r w:rsidR="00F74CC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оссийской </w:t>
            </w:r>
            <w:r w:rsidR="00F74CCE" w:rsidRPr="00F74CC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F74CC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едерации </w:t>
            </w:r>
            <w:r w:rsidR="00FA541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положения</w:t>
            </w:r>
            <w:r w:rsidR="00FA541B" w:rsidRPr="00857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пп.</w:t>
            </w:r>
            <w:r w:rsidR="00FA541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1-5 </w:t>
            </w:r>
            <w:r w:rsidR="008570DB" w:rsidRPr="008570D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носят общий императивный характер и не допускают отсутствия в нормативных правовых актах, регулирующих предоставление субсидий, положений о порядке возврата неиспользованной части субсидий.</w:t>
            </w:r>
            <w:r w:rsidR="00FA541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A435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В представленном проекте отсутствуют положения, предусмотренные пп.4,5 пункта 3 </w:t>
            </w:r>
            <w:r w:rsidR="00BA4353" w:rsidRPr="00F74CC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статьи 78 Б</w:t>
            </w:r>
            <w:r w:rsidR="00BA435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юджетного кодекса</w:t>
            </w:r>
            <w:r w:rsidR="00BA4353" w:rsidRPr="00F74CC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Р</w:t>
            </w:r>
            <w:r w:rsidR="00BA435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оссийской </w:t>
            </w:r>
            <w:r w:rsidR="00BA4353" w:rsidRPr="00F74CC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BA435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едерации, а именно:</w:t>
            </w:r>
          </w:p>
          <w:p w:rsidR="00AF4B7E" w:rsidRPr="00AF4B7E" w:rsidRDefault="00AF4B7E" w:rsidP="00AF4B7E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AF4B7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4)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      </w:r>
          </w:p>
          <w:p w:rsidR="00AF4B7E" w:rsidRDefault="00AF4B7E" w:rsidP="00AF4B7E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AF4B7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5) положения об обязательной проверке главным распорядителем (распорядителем) бюджетных средств, предоставляющим</w:t>
            </w:r>
            <w:r w:rsidR="00445B9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AF4B7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      </w:r>
          </w:p>
          <w:p w:rsidR="00445B9A" w:rsidRDefault="00445B9A" w:rsidP="0079261F">
            <w:pPr>
              <w:pStyle w:val="ConsPlusNormal"/>
              <w:ind w:firstLine="540"/>
              <w:jc w:val="both"/>
            </w:pPr>
            <w:r>
              <w:t xml:space="preserve">В соответствии с положениями </w:t>
            </w:r>
            <w:r w:rsidR="00E900EA">
              <w:t xml:space="preserve"> пп.</w:t>
            </w:r>
            <w:hyperlink r:id="rId7" w:history="1">
              <w:r>
                <w:rPr>
                  <w:color w:val="0000FF"/>
                </w:rPr>
                <w:t>"ж" п. 3</w:t>
              </w:r>
            </w:hyperlink>
            <w:r>
              <w:t xml:space="preserve"> Методики, коррупциоге</w:t>
            </w:r>
            <w:r w:rsidR="0079261F">
              <w:t xml:space="preserve">нные факторы, выражены </w:t>
            </w:r>
            <w:r>
              <w:t xml:space="preserve"> в отсутствии или неполноте административных процедур - отсутствии порядка совершения органами местного самоуправления (их должностными лицами) определенных действий либо одного из элементов такого порядка.</w:t>
            </w:r>
            <w:r w:rsidR="0079261F">
              <w:t xml:space="preserve"> При таких обстоятельствах следует полагать, что Порядок содержит положения, указывающие на коррупциогенные факторы, устанавливающие для правоприменителя</w:t>
            </w:r>
            <w:r w:rsidR="00C73142">
              <w:t xml:space="preserve"> </w:t>
            </w:r>
            <w:r w:rsidR="0079261F">
              <w:t>возможность необоснованного применения исключений из общих правил.</w:t>
            </w:r>
          </w:p>
          <w:p w:rsidR="00C73142" w:rsidRDefault="00C73142" w:rsidP="00912D28">
            <w:pPr>
              <w:pStyle w:val="ConsPlusNormal"/>
              <w:ind w:firstLine="540"/>
              <w:jc w:val="both"/>
            </w:pPr>
            <w:r>
              <w:t>3.2. Пунктом 6 Правил предусмотрен перечень документо</w:t>
            </w:r>
            <w:r w:rsidR="000655E2">
              <w:t>в</w:t>
            </w:r>
            <w:r>
              <w:t xml:space="preserve">, которые предоставляются перевозчиками для </w:t>
            </w:r>
            <w:r w:rsidR="000655E2">
              <w:t xml:space="preserve">получения субсидий в том числе: заключенное с администрацией муниципального образования «Цильнинский район» Соглашение о предоставлении субсидий из бюджета в целях возмещения  затрат в связи с оказанием услуг по перевозке пассажиров на социально значимом маршруте. </w:t>
            </w:r>
            <w:r w:rsidR="00912D28">
              <w:t xml:space="preserve">Один экземпляр данного Соглашения находится в администрации МО «Цильнинский район», так как она является стороной соглашения. Дополнительное предоставление данного соглашения </w:t>
            </w:r>
            <w:r w:rsidR="00433929">
              <w:t xml:space="preserve">в соответствии </w:t>
            </w:r>
            <w:r w:rsidR="00912D28">
              <w:t>с п. "а" ч. 4 Методики</w:t>
            </w:r>
            <w:r w:rsidR="00433929">
              <w:t xml:space="preserve"> является коррупциогенным фактором, выраженным в </w:t>
            </w:r>
            <w:r w:rsidR="00912D28">
              <w:t>завышенны</w:t>
            </w:r>
            <w:r w:rsidR="00433929">
              <w:t>х</w:t>
            </w:r>
            <w:r w:rsidR="00912D28">
              <w:t xml:space="preserve"> требовани</w:t>
            </w:r>
            <w:r w:rsidR="00433929">
              <w:t>ях</w:t>
            </w:r>
            <w:r w:rsidR="00912D28">
              <w:t>, предъявляемых к заявителю при реализации его права</w:t>
            </w:r>
            <w:r w:rsidR="00433929">
              <w:t>.</w:t>
            </w:r>
            <w:r w:rsidR="00912D28">
              <w:t xml:space="preserve"> </w:t>
            </w:r>
          </w:p>
          <w:p w:rsidR="00BA4353" w:rsidRPr="003B4CA0" w:rsidRDefault="00BA4353" w:rsidP="00AF4B7E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B4CA0" w:rsidRPr="003B4CA0" w:rsidTr="004A4725">
        <w:tc>
          <w:tcPr>
            <w:tcW w:w="9828" w:type="dxa"/>
            <w:gridSpan w:val="3"/>
          </w:tcPr>
          <w:p w:rsidR="003B4CA0" w:rsidRPr="003B4CA0" w:rsidRDefault="003B4CA0" w:rsidP="003B4CA0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B4CA0" w:rsidRPr="003B4CA0" w:rsidTr="004A4725">
        <w:trPr>
          <w:trHeight w:val="365"/>
        </w:trPr>
        <w:tc>
          <w:tcPr>
            <w:tcW w:w="9828" w:type="dxa"/>
            <w:gridSpan w:val="3"/>
          </w:tcPr>
          <w:p w:rsidR="003B4CA0" w:rsidRPr="003B4CA0" w:rsidRDefault="003B4CA0" w:rsidP="003B4CA0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3B4CA0" w:rsidRPr="003B4CA0" w:rsidRDefault="003B4CA0" w:rsidP="003B4CA0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B4CA0" w:rsidRPr="003B4CA0" w:rsidRDefault="003B4CA0" w:rsidP="003B4CA0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3B4CA0" w:rsidRPr="003B4CA0" w:rsidRDefault="003B4CA0" w:rsidP="003B4CA0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Имеются нарушения правил юридической техники, которые переданы разработчику в рабочем порядке.</w:t>
            </w:r>
          </w:p>
          <w:p w:rsidR="00690DC5" w:rsidRPr="002B4634" w:rsidRDefault="00690DC5" w:rsidP="00690DC5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Необходимо направить настоящий проект нормативного правового акта для проведения правовой и антикоррупционной экспертизы в  прокуратуру Цильнинского района в соответствии с  Федеральным законом от 17.07.2009 N 172-ФЗ «Об антикоррупционной экспертизе нормативных правовых актов и проектов нормативных </w:t>
            </w: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правовых актов» и Федеральным законом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 Федерации. </w:t>
            </w:r>
          </w:p>
          <w:p w:rsidR="00690DC5" w:rsidRPr="002B4634" w:rsidRDefault="00690DC5" w:rsidP="00690DC5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В соответствии с распоряжением Губернатора Ульяновской  области от 11.09.2009 № 274-р «О некоторых мерах по повышению эффективности  нормотворческой деятельности» настоящий проект подлежит согласованию с отраслевым государственным органом исполнительной власти Ульяновской области. </w:t>
            </w:r>
          </w:p>
          <w:p w:rsidR="003B4CA0" w:rsidRPr="003B4CA0" w:rsidRDefault="003B4CA0" w:rsidP="003B4CA0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B4CA0" w:rsidRPr="003B4CA0" w:rsidTr="004A4725">
        <w:tc>
          <w:tcPr>
            <w:tcW w:w="9828" w:type="dxa"/>
            <w:gridSpan w:val="3"/>
          </w:tcPr>
          <w:p w:rsidR="003B4CA0" w:rsidRPr="003B4CA0" w:rsidRDefault="003B4CA0" w:rsidP="003B4CA0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5 . Выводы по результатам экспертизы</w:t>
            </w:r>
          </w:p>
          <w:p w:rsidR="003B4CA0" w:rsidRPr="003B4CA0" w:rsidRDefault="003B4CA0" w:rsidP="003B4CA0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B4CA0" w:rsidRPr="003B4CA0" w:rsidRDefault="003B4CA0" w:rsidP="009A73D9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Представленный проект нормативного правового акта </w:t>
            </w:r>
            <w:r w:rsidR="009A73D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нуждается в доработке.</w:t>
            </w:r>
          </w:p>
        </w:tc>
      </w:tr>
      <w:tr w:rsidR="003B4CA0" w:rsidRPr="003B4CA0" w:rsidTr="004A4725">
        <w:tc>
          <w:tcPr>
            <w:tcW w:w="9828" w:type="dxa"/>
            <w:gridSpan w:val="3"/>
          </w:tcPr>
          <w:p w:rsidR="003B4CA0" w:rsidRPr="003B4CA0" w:rsidRDefault="003B4CA0" w:rsidP="003B4CA0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B4CA0" w:rsidRPr="003B4CA0" w:rsidRDefault="003B4CA0" w:rsidP="003B4CA0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B4CA0" w:rsidRPr="003B4CA0" w:rsidTr="004A4725">
        <w:tc>
          <w:tcPr>
            <w:tcW w:w="4914" w:type="dxa"/>
            <w:gridSpan w:val="2"/>
          </w:tcPr>
          <w:p w:rsidR="003B4CA0" w:rsidRPr="003B4CA0" w:rsidRDefault="003B4CA0" w:rsidP="003B4CA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CA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3B4CA0" w:rsidRPr="003B4CA0" w:rsidRDefault="003B4CA0" w:rsidP="003B4CA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«Цильнинский район», </w:t>
            </w:r>
          </w:p>
          <w:p w:rsidR="003B4CA0" w:rsidRPr="003B4CA0" w:rsidRDefault="003B4CA0" w:rsidP="003B4CA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начальник управления правового обеспечения</w:t>
            </w:r>
          </w:p>
        </w:tc>
        <w:tc>
          <w:tcPr>
            <w:tcW w:w="4914" w:type="dxa"/>
          </w:tcPr>
          <w:p w:rsidR="003B4CA0" w:rsidRPr="003B4CA0" w:rsidRDefault="003B4CA0" w:rsidP="003B4CA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Т.И. Ермолаева</w:t>
            </w:r>
          </w:p>
        </w:tc>
      </w:tr>
      <w:tr w:rsidR="003B4CA0" w:rsidRPr="003B4CA0" w:rsidTr="004A4725">
        <w:tc>
          <w:tcPr>
            <w:tcW w:w="4914" w:type="dxa"/>
            <w:gridSpan w:val="2"/>
          </w:tcPr>
          <w:p w:rsidR="003B4CA0" w:rsidRPr="003B4CA0" w:rsidRDefault="003B4CA0" w:rsidP="003B4CA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3B4CA0" w:rsidRPr="003B4CA0" w:rsidRDefault="003B4CA0" w:rsidP="003B4CA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CA0" w:rsidRPr="003B4CA0" w:rsidTr="004A4725">
        <w:tc>
          <w:tcPr>
            <w:tcW w:w="4914" w:type="dxa"/>
            <w:gridSpan w:val="2"/>
          </w:tcPr>
          <w:p w:rsidR="003B4CA0" w:rsidRPr="003B4CA0" w:rsidRDefault="003B4CA0" w:rsidP="003B4CA0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CA0">
              <w:rPr>
                <w:rFonts w:ascii="Times New Roman" w:eastAsia="Times New Roman" w:hAnsi="Times New Roman" w:cs="Times New Roman"/>
                <w:sz w:val="20"/>
                <w:szCs w:val="20"/>
              </w:rPr>
              <w:t>исп. Голубева Т.В.</w:t>
            </w:r>
          </w:p>
        </w:tc>
        <w:tc>
          <w:tcPr>
            <w:tcW w:w="4914" w:type="dxa"/>
          </w:tcPr>
          <w:p w:rsidR="003B4CA0" w:rsidRPr="003B4CA0" w:rsidRDefault="003B4CA0" w:rsidP="003B4CA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B4CA0" w:rsidRPr="003B4CA0" w:rsidRDefault="003B4CA0" w:rsidP="003B4CA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A26" w:rsidRDefault="00A05A26"/>
    <w:sectPr w:rsidR="00A05A26" w:rsidSect="002D6A65">
      <w:footerReference w:type="default" r:id="rId8"/>
      <w:footnotePr>
        <w:pos w:val="beneathText"/>
      </w:footnotePr>
      <w:pgSz w:w="11905" w:h="16837"/>
      <w:pgMar w:top="1134" w:right="706" w:bottom="851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2A" w:rsidRDefault="00460C2A" w:rsidP="00FA57D8">
      <w:pPr>
        <w:spacing w:after="0" w:line="240" w:lineRule="auto"/>
      </w:pPr>
      <w:r>
        <w:separator/>
      </w:r>
    </w:p>
  </w:endnote>
  <w:endnote w:type="continuationSeparator" w:id="1">
    <w:p w:rsidR="00460C2A" w:rsidRDefault="00460C2A" w:rsidP="00FA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F1B" w:rsidRDefault="00460C2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2A" w:rsidRDefault="00460C2A" w:rsidP="00FA57D8">
      <w:pPr>
        <w:spacing w:after="0" w:line="240" w:lineRule="auto"/>
      </w:pPr>
      <w:r>
        <w:separator/>
      </w:r>
    </w:p>
  </w:footnote>
  <w:footnote w:type="continuationSeparator" w:id="1">
    <w:p w:rsidR="00460C2A" w:rsidRDefault="00460C2A" w:rsidP="00FA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3B4CA0"/>
    <w:rsid w:val="000655E2"/>
    <w:rsid w:val="00244AC6"/>
    <w:rsid w:val="002857A0"/>
    <w:rsid w:val="003B4CA0"/>
    <w:rsid w:val="003D08D0"/>
    <w:rsid w:val="00433054"/>
    <w:rsid w:val="00433929"/>
    <w:rsid w:val="00445B9A"/>
    <w:rsid w:val="00460C2A"/>
    <w:rsid w:val="00690DC5"/>
    <w:rsid w:val="0079261F"/>
    <w:rsid w:val="008570DB"/>
    <w:rsid w:val="00912D28"/>
    <w:rsid w:val="00934CF1"/>
    <w:rsid w:val="009A73D9"/>
    <w:rsid w:val="00A05A26"/>
    <w:rsid w:val="00AF4B7E"/>
    <w:rsid w:val="00BA4353"/>
    <w:rsid w:val="00BD4E04"/>
    <w:rsid w:val="00C73142"/>
    <w:rsid w:val="00E900EA"/>
    <w:rsid w:val="00F74CCE"/>
    <w:rsid w:val="00FA541B"/>
    <w:rsid w:val="00FA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B4C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3B4CA0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45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39C7D22E3C30A6BBCCB2F050DA30F09044684E88848114347082B4458C219A25B7A1791474B9F5OAu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2016-03-22T11:58:00Z</cp:lastPrinted>
  <dcterms:created xsi:type="dcterms:W3CDTF">2016-03-21T08:23:00Z</dcterms:created>
  <dcterms:modified xsi:type="dcterms:W3CDTF">2016-03-22T12:06:00Z</dcterms:modified>
</cp:coreProperties>
</file>